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Connecticut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Connecticut: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Connecticut's audio consent rules are split (Conn. Gen. Stat. §52-570d (phone, all-party) &amp; §53a-189 (eavesdropping)), so audio is safest treated as requiring the consent of everyone present. Video-only viewing sidesteps the issue,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Connecticut does not require daycares to install cameras, but if a licensed center uses video surveillance, recordings must be kept and made available to the Office of Early Childhood on request (Conn. Gen. Stat. §§19a-79, 19a-87b). Audio rules are split: phone recording is all-party; in-person participant recording is generally permitted.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Connecticut centers using surveillance are subject to the OEC retention/availability rule; parental disclosure is handled via the enrollment agreement and handbook. Your licensing agency is Connecticut Office of Early Childhood (OEC), Division of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Conn. Gen. Stat. §52-570d (phone, all-party) &amp; §53a-189 (eavesdropping); Conn. Gen. Stat. §§19a-79 &amp; 19a-87b: childcare surveillance retention &amp; OEC access. Agency: https://portal.ct.gov/oec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[Connecticut's audio consent rules are split (Conn. Gen. Stat. §52-570d (phone, all-party) &amp; §53a-189 (eavesdropping)), so audio is safest treated as requiring the consent of everyone present. If your center records audio for internal use, describe how you obtain that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Connecticut camera laws: carecam.io/daycare-camera-laws/connecticut/</w:t>
      </w:r>
    </w:p>
    <w:sectPr>
      <w:pgSz w:w="12240" w:h="15840"/>
      <w:pgMar w:top="1440" w:right="1440" w:bottom="1440" w:left="1440" w:header="720" w:footer="720" w:gutter="0"/>
    </w:sectPr>
  </w:body>
</w:document>
</file>