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Virginia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Virginia: the rules that matter</w:t>
      </w:r>
    </w:p>
    <w:p>
      <w:pPr>
        <w:spacing w:before="0" w:after="160" w:line="276" w:lineRule="auto"/>
      </w:pPr>
      <w:r>
        <w:rPr>
          <w:color w:val="1C1917"/>
          <w:sz w:val="22"/>
          <w:szCs w:val="22"/>
        </w:rPr>
        <w:t xml:space="preserve">Virginia is a one-party consent state for audio (Va. Code §19.2-62: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Virginia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Virginia centers using cameras should disclose them to families in enrollment materials and confirm current rules with the Office of Child Care. Your licensing agency is Virginia Department of Education (VDOE), Office of Child Care.</w:t>
      </w:r>
    </w:p>
    <w:p>
      <w:pPr>
        <w:spacing w:before="0" w:after="80" w:line="276" w:lineRule="auto"/>
      </w:pPr>
      <w:r>
        <w:rPr>
          <w:color w:val="57534E"/>
          <w:sz w:val="18"/>
          <w:szCs w:val="18"/>
        </w:rPr>
        <w:t xml:space="preserve">Sources: Va. Code §19.2-62: interception with one party's consent. Agency: https://childcare.virginia.gov</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[Virginia is a one-party consent state for audio (Va. Code §19.2-62: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Virginia camera laws: carecam.io/daycare-camera-laws/virginia/</w:t>
      </w:r>
    </w:p>
    <w:sectPr>
      <w:pgSz w:w="12240" w:h="15840"/>
      <w:pgMar w:top="1440" w:right="1440" w:bottom="1440" w:left="1440" w:header="720" w:footer="720" w:gutter="0"/>
    </w:sectPr>
  </w:body>
</w:document>
</file>