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Wisconsin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Wisconsin: the rules that matter</w:t>
      </w:r>
    </w:p>
    <w:p>
      <w:pPr>
        <w:spacing w:before="0" w:after="160" w:line="276" w:lineRule="auto"/>
      </w:pPr>
      <w:r>
        <w:rPr>
          <w:color w:val="1C1917"/>
          <w:sz w:val="22"/>
          <w:szCs w:val="22"/>
        </w:rPr>
        <w:t xml:space="preserve">Wisconsin is a one-party consent state for audio (Wis. Stat. §968.31: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Wisconsin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Wisconsin centers using cameras should disclose them to families in enrollment materials and confirm current rules with DCF. Your licensing agency is Wisconsin Department of Children and Families (DCF), Early Care and Education.</w:t>
      </w:r>
    </w:p>
    <w:p>
      <w:pPr>
        <w:spacing w:before="0" w:after="80" w:line="276" w:lineRule="auto"/>
      </w:pPr>
      <w:r>
        <w:rPr>
          <w:color w:val="57534E"/>
          <w:sz w:val="18"/>
          <w:szCs w:val="18"/>
        </w:rPr>
        <w:t xml:space="preserve">Sources: Wis. Stat. §968.31: interception with one party's consent. Agency: https://dcf.wisconsin.gov/cclicensing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[Wisconsin is a one-party consent state for audio (Wis. Stat. §968.31: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Wisconsin camera laws: carecam.io/daycare-camera-laws/wisconsin/</w:t>
      </w:r>
    </w:p>
    <w:sectPr>
      <w:pgSz w:w="12240" w:h="15840"/>
      <w:pgMar w:top="1440" w:right="1440" w:bottom="1440" w:left="1440" w:header="720" w:footer="720" w:gutter="0"/>
    </w:sectPr>
  </w:body>
</w:document>
</file>