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Maryland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Maryland: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Maryland requires the consent of everyone present before audio may be recorded (Md. Code, Cts. &amp; Jud. Proc. §10-402: Wiretapping and Electronic Surveillance Act (all-party)).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Maryland has no statewide mandate requiring daycare cameras. Centers may use them with disclosure; Maryland requires all parties' consent to record private conversations, so video-only is the safe default for any camera.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Maryland centers using cameras should disclose them in enrollment materials. Because Maryland is all-party, video-only systems avoid the audio-consent problem. Your licensing agency is Maryland State Department of Education (MSDE), Office of Child Care.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Md. Code, Cts. &amp; Jud. Proc. §10-402: Wiretapping and Electronic Surveillance Act (all-party). Agency: https://earlychildhood.marylandpublicschools.org/child-care-providers/licensing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[Maryland requires the consent of everyone present to record audio (Md. Code, Cts. &amp; Jud. Proc. §10-402: Wiretapping and Electronic Surveillance Act (all-party)).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Maryland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Maryland camera laws: carecam.io/daycare-camera-laws/maryland/</w:t>
      </w:r>
    </w:p>
    <w:sectPr>
      <w:pgSz w:w="12240" w:h="15840"/>
      <w:pgMar w:top="1440" w:right="1440" w:bottom="1440" w:left="1440" w:header="720" w:footer="720" w:gutter="0"/>
    </w:sectPr>
  </w:body>
</w:document>
</file>