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Vermont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Vermont: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Vermont's audio consent rules are split (No Vermont wiretap statute: federal 18 U.S.C. §2511 (one-party) is the baseline), so audio is safest treated as requiring the consent of everyone present. Video-only viewing sidesteps the issue,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Vermont has no statewide mandate requiring daycare cameras, and uniquely has no general wiretap statute. The federal one-party standard is the baseline. But the Vermont Supreme Court (State v. Geraw) has recognized heightened constitutional privacy against secret recording, so audio should be handled cautiously.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Given Vermont's heightened privacy case law, centers favor video-only systems with clear disclosure in enrollment materials. Your licensing agency is Vermont Department for Children and Families (DCF), Child Development Division.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No Vermont wiretap statute: federal 18 U.S.C. §2511 (one-party) is the baseline; State v. Geraw, 173 Vt. 350 (2002): heightened constitutional privacy against secret recording. Agency: https://dcf.vermont.gov/cdd/laws-rules/licensing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[Vermont's audio consent rules are split (No Vermont wiretap statute: federal 18 U.S.C. §2511 (one-party) is the baseline), so audio is safest treated as requiring the consent of everyone present. If your center records audio for internal use, describe how you obtain that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Vermont camera laws: carecam.io/daycare-camera-laws/vermont/</w:t>
      </w:r>
    </w:p>
    <w:sectPr>
      <w:pgSz w:w="12240" w:h="15840"/>
      <w:pgMar w:top="1440" w:right="1440" w:bottom="1440" w:left="1440" w:header="720" w:footer="720" w:gutter="0"/>
    </w:sectPr>
  </w:body>
</w:document>
</file>