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Washington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Washington: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Washington requires the consent of everyone present before audio may be recorded (RCW 9.73.030: recording a private conversation requires all-party consent).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Washington has no statewide mandate requiring daycare cameras, and a video monitor may not substitute for required in-person supervision. Washington is a strong all-party consent state. Recording a private conversation requires everyone's consent, so video-only is the safe default.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Washington centers typically run video-only systems and disclose via the enrollment agreement and signage; any audio capture requires all-party consent. Your licensing agency is Washington Department of Children, Youth, and Families (DCYF).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RCW 9.73.030: recording a private conversation requires all-party consent. Agency: https://dcyf.wa.gov/services/early-learning-providers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[Washington requires the consent of everyone present to record audio (RCW 9.73.030: recording a private conversation requires all-party consent).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Washington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Washington camera laws: carecam.io/daycare-camera-laws/washington/</w:t>
      </w:r>
    </w:p>
    <w:sectPr>
      <w:pgSz w:w="12240" w:h="15840"/>
      <w:pgMar w:top="1440" w:right="1440" w:bottom="1440" w:left="1440" w:header="720" w:footer="720" w:gutter="0"/>
    </w:sectPr>
  </w:body>
</w:document>
</file>